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A77CD" w14:textId="6426C9A1" w:rsidR="00C048A7" w:rsidRPr="00A920C6" w:rsidRDefault="00C048A7" w:rsidP="00A920C6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i/>
          <w:iCs/>
          <w:sz w:val="24"/>
          <w:szCs w:val="24"/>
        </w:rPr>
      </w:pPr>
      <w:r w:rsidRPr="00A920C6">
        <w:rPr>
          <w:rFonts w:ascii="Times New Roman" w:hAnsi="Times New Roman"/>
          <w:b/>
          <w:sz w:val="24"/>
          <w:szCs w:val="24"/>
        </w:rPr>
        <w:t>Zestawienie uwag zgłoszonych w uzgodnieniach międzyresortowych do projektu</w:t>
      </w:r>
      <w:r w:rsidRPr="00A920C6">
        <w:rPr>
          <w:rFonts w:ascii="Times New Roman" w:eastAsiaTheme="minorHAnsi" w:hAnsi="Times New Roman"/>
          <w:b/>
          <w:sz w:val="24"/>
          <w:szCs w:val="24"/>
        </w:rPr>
        <w:t xml:space="preserve"> rozporządzenia Ministra Sprawiedliwości </w:t>
      </w:r>
      <w:r w:rsidRPr="00A920C6">
        <w:rPr>
          <w:rFonts w:ascii="Times New Roman" w:eastAsiaTheme="minorHAnsi" w:hAnsi="Times New Roman"/>
          <w:b/>
          <w:i/>
          <w:iCs/>
          <w:sz w:val="24"/>
          <w:szCs w:val="24"/>
        </w:rPr>
        <w:t>zmieniającego rozporządzenie w sprawie przechowywania akt spraw sądowych oraz ich przekazywania do archiwów państwowych lub do zniszczenia</w:t>
      </w:r>
      <w:r w:rsidRPr="00A920C6">
        <w:rPr>
          <w:rFonts w:ascii="Times New Roman" w:eastAsiaTheme="minorHAnsi" w:hAnsi="Times New Roman"/>
          <w:b/>
          <w:sz w:val="24"/>
          <w:szCs w:val="24"/>
        </w:rPr>
        <w:t>, wpisan</w:t>
      </w:r>
      <w:r w:rsidR="00996FE5">
        <w:rPr>
          <w:rFonts w:ascii="Times New Roman" w:eastAsiaTheme="minorHAnsi" w:hAnsi="Times New Roman"/>
          <w:b/>
          <w:sz w:val="24"/>
          <w:szCs w:val="24"/>
        </w:rPr>
        <w:t>ego</w:t>
      </w:r>
      <w:r w:rsidRPr="00A920C6">
        <w:rPr>
          <w:rFonts w:ascii="Times New Roman" w:eastAsiaTheme="minorHAnsi" w:hAnsi="Times New Roman"/>
          <w:b/>
          <w:sz w:val="24"/>
          <w:szCs w:val="24"/>
        </w:rPr>
        <w:t xml:space="preserve"> do wykazu</w:t>
      </w:r>
      <w:r w:rsidRPr="00A920C6">
        <w:rPr>
          <w:rFonts w:ascii="Times New Roman" w:eastAsiaTheme="minorHAnsi" w:hAnsi="Times New Roman"/>
          <w:b/>
          <w:i/>
          <w:iCs/>
          <w:sz w:val="24"/>
          <w:szCs w:val="24"/>
        </w:rPr>
        <w:t xml:space="preserve"> </w:t>
      </w:r>
      <w:r w:rsidRPr="00A920C6">
        <w:rPr>
          <w:rFonts w:ascii="Times New Roman" w:eastAsiaTheme="minorHAnsi" w:hAnsi="Times New Roman"/>
          <w:b/>
          <w:sz w:val="24"/>
          <w:szCs w:val="24"/>
        </w:rPr>
        <w:t>prac legislacyjnych Ministra Sprawiedliwości pod numerem B567.</w:t>
      </w:r>
    </w:p>
    <w:p w14:paraId="2B42CBE4" w14:textId="77777777" w:rsidR="00C048A7" w:rsidRPr="00A920C6" w:rsidRDefault="00C048A7" w:rsidP="00A920C6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3C94AA31" w14:textId="77777777" w:rsidR="00C048A7" w:rsidRPr="00A920C6" w:rsidRDefault="00C048A7" w:rsidP="00A920C6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Tabela-Siatka"/>
        <w:tblW w:w="1502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70"/>
        <w:gridCol w:w="1699"/>
        <w:gridCol w:w="1984"/>
        <w:gridCol w:w="4820"/>
        <w:gridCol w:w="5953"/>
      </w:tblGrid>
      <w:tr w:rsidR="00C048A7" w:rsidRPr="00A920C6" w14:paraId="423A1565" w14:textId="77777777" w:rsidTr="00FE2714">
        <w:tc>
          <w:tcPr>
            <w:tcW w:w="570" w:type="dxa"/>
          </w:tcPr>
          <w:p w14:paraId="2E51F4C4" w14:textId="77777777" w:rsidR="00C048A7" w:rsidRPr="00A920C6" w:rsidRDefault="00C048A7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699" w:type="dxa"/>
          </w:tcPr>
          <w:p w14:paraId="1927CA50" w14:textId="77777777" w:rsidR="00C048A7" w:rsidRPr="00A920C6" w:rsidRDefault="00C048A7" w:rsidP="00A920C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hAnsi="Times New Roman"/>
                <w:b/>
                <w:sz w:val="24"/>
                <w:szCs w:val="24"/>
              </w:rPr>
              <w:t xml:space="preserve">Zgłaszający </w:t>
            </w:r>
          </w:p>
          <w:p w14:paraId="26892100" w14:textId="77777777" w:rsidR="00C048A7" w:rsidRPr="00A920C6" w:rsidRDefault="00C048A7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hAnsi="Times New Roman"/>
                <w:b/>
                <w:sz w:val="24"/>
                <w:szCs w:val="24"/>
              </w:rPr>
              <w:t>uwagę</w:t>
            </w:r>
          </w:p>
        </w:tc>
        <w:tc>
          <w:tcPr>
            <w:tcW w:w="1984" w:type="dxa"/>
          </w:tcPr>
          <w:p w14:paraId="75C3D0D8" w14:textId="77777777" w:rsidR="00C048A7" w:rsidRPr="00A920C6" w:rsidRDefault="00C048A7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hAnsi="Times New Roman"/>
                <w:b/>
                <w:sz w:val="24"/>
                <w:szCs w:val="24"/>
              </w:rPr>
              <w:t>Uwaga dotyczy</w:t>
            </w:r>
          </w:p>
        </w:tc>
        <w:tc>
          <w:tcPr>
            <w:tcW w:w="4820" w:type="dxa"/>
          </w:tcPr>
          <w:p w14:paraId="742FD21F" w14:textId="77777777" w:rsidR="00C048A7" w:rsidRPr="00A920C6" w:rsidRDefault="00C048A7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hAnsi="Times New Roman"/>
                <w:b/>
                <w:sz w:val="24"/>
                <w:szCs w:val="24"/>
              </w:rPr>
              <w:t>Treść uwagi</w:t>
            </w:r>
          </w:p>
        </w:tc>
        <w:tc>
          <w:tcPr>
            <w:tcW w:w="5953" w:type="dxa"/>
          </w:tcPr>
          <w:p w14:paraId="699CDF94" w14:textId="77777777" w:rsidR="00C048A7" w:rsidRPr="00A920C6" w:rsidRDefault="00C048A7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hAnsi="Times New Roman"/>
                <w:b/>
                <w:sz w:val="24"/>
                <w:szCs w:val="24"/>
              </w:rPr>
              <w:t>Odniesienie się do uwagi</w:t>
            </w:r>
          </w:p>
        </w:tc>
      </w:tr>
      <w:tr w:rsidR="00C048A7" w:rsidRPr="00A920C6" w14:paraId="1D5190B9" w14:textId="77777777" w:rsidTr="00FE2714">
        <w:tc>
          <w:tcPr>
            <w:tcW w:w="570" w:type="dxa"/>
          </w:tcPr>
          <w:p w14:paraId="49539B5B" w14:textId="77777777" w:rsidR="00C048A7" w:rsidRPr="00A920C6" w:rsidRDefault="00C048A7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699" w:type="dxa"/>
          </w:tcPr>
          <w:p w14:paraId="277BDFD5" w14:textId="77777777" w:rsidR="00C048A7" w:rsidRPr="00A920C6" w:rsidRDefault="00C048A7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RCL </w:t>
            </w:r>
          </w:p>
        </w:tc>
        <w:tc>
          <w:tcPr>
            <w:tcW w:w="1984" w:type="dxa"/>
          </w:tcPr>
          <w:p w14:paraId="5646A5D3" w14:textId="44D5C8DD" w:rsidR="00C048A7" w:rsidRPr="00A920C6" w:rsidRDefault="00C048A7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Upoważnienia ustawowego do wydania rozporządzenia wykonawczego </w:t>
            </w:r>
          </w:p>
        </w:tc>
        <w:tc>
          <w:tcPr>
            <w:tcW w:w="4820" w:type="dxa"/>
          </w:tcPr>
          <w:p w14:paraId="3A03B9C9" w14:textId="4CF81AC7" w:rsidR="00C048A7" w:rsidRPr="007776B2" w:rsidRDefault="00C048A7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Rządowe</w:t>
            </w:r>
            <w:r w:rsidR="002A4AD4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Centrum Legislacji</w:t>
            </w:r>
            <w:r w:rsidR="002A4AD4">
              <w:rPr>
                <w:rFonts w:ascii="Times New Roman" w:eastAsiaTheme="minorHAnsi" w:hAnsi="Times New Roman"/>
                <w:sz w:val="24"/>
                <w:szCs w:val="24"/>
              </w:rPr>
              <w:t xml:space="preserve"> po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inform</w:t>
            </w:r>
            <w:r w:rsidR="002A4AD4">
              <w:rPr>
                <w:rFonts w:ascii="Times New Roman" w:eastAsiaTheme="minorHAnsi" w:hAnsi="Times New Roman"/>
                <w:sz w:val="24"/>
                <w:szCs w:val="24"/>
              </w:rPr>
              <w:t>owało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, że ustawa z dnia 6 grudnia 2018 r. </w:t>
            </w:r>
            <w:r w:rsidRPr="00A920C6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o Krajowym Rejestrze</w:t>
            </w:r>
            <w:r w:rsidR="002A4AD4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Zadłużonych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(Dz. U. z 2019 r. poz. 55, z późn. zm.), w art. 18 pkt 1 lit. b wprowadza zmiany</w:t>
            </w:r>
            <w:r w:rsidR="007776B2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do art. 53 § 2 ustawy z dnia 27 lipca 2001 r. – </w:t>
            </w:r>
            <w:r w:rsidRPr="00A920C6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Prawo o ustroju sądów powszechnych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(Dz. U.</w:t>
            </w:r>
            <w:r w:rsidR="007776B2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z 2020 r. poz. 2072), do którego odsyła upoważnienie ustawowe zawarte w art. 53 § 4 tej</w:t>
            </w:r>
            <w:r w:rsidR="00A920C6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ustawy, i które stanowi podstawę do wydania projektowanego rozporządzenia. W tej sytuacji</w:t>
            </w:r>
            <w:r w:rsidR="00C75252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2A4AD4">
              <w:rPr>
                <w:rFonts w:ascii="Times New Roman" w:eastAsiaTheme="minorHAnsi" w:hAnsi="Times New Roman"/>
                <w:sz w:val="24"/>
                <w:szCs w:val="24"/>
              </w:rPr>
              <w:t>zauważono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, że w odniesieniu do rozporządzenia wydawanego na podstawie art. 53 § 4</w:t>
            </w:r>
            <w:r w:rsidR="00A920C6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ustawy z dnia 27 lipca 2001 r. – </w:t>
            </w:r>
            <w:r w:rsidRPr="00A920C6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Prawo o ustroju sądów powszechnych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nastąpiła pośrednia</w:t>
            </w:r>
            <w:r w:rsidR="00A920C6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zmiana upoważnienia ustawowego, co z kolei oznacza, że z dniem wejścia w życie ustawy</w:t>
            </w:r>
            <w:r w:rsidR="00A920C6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z dnia 6 grudnia 2018 r. </w:t>
            </w:r>
            <w:r w:rsidRPr="00A920C6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o Krajowym Rejestrze Zadłużonych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rozporządzenie Ministra</w:t>
            </w:r>
            <w:r w:rsidR="007776B2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Sprawiedliwości z dnia 5 marca 2004 r. </w:t>
            </w:r>
            <w:r w:rsidRPr="00A920C6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w sprawie przechowywania akt sądowych oraz ich</w:t>
            </w:r>
            <w:r w:rsidR="00A920C6" w:rsidRPr="00A920C6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lastRenderedPageBreak/>
              <w:t xml:space="preserve">przekazywania do archiwów państwowych lub do zniszczenia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utraci moc. Konieczne jest</w:t>
            </w:r>
          </w:p>
          <w:p w14:paraId="2C0D1A43" w14:textId="1EB0B6EA" w:rsidR="00C048A7" w:rsidRPr="00A920C6" w:rsidRDefault="00C048A7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zatem opracowanie nowego projektu rozporządzenia wydawanego na podstawie art. 53 § 4</w:t>
            </w:r>
            <w:r w:rsidR="00A920C6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ustawy – </w:t>
            </w:r>
            <w:r w:rsidRPr="00A920C6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Prawo o ustroju sądów powszechnych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, a nie jego nowelizacja.</w:t>
            </w:r>
          </w:p>
          <w:p w14:paraId="345E4EC8" w14:textId="09209207" w:rsidR="00C048A7" w:rsidRPr="00A920C6" w:rsidRDefault="00C048A7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Jednocześnie podkreś</w:t>
            </w:r>
            <w:r w:rsidR="002A4AD4">
              <w:rPr>
                <w:rFonts w:ascii="Times New Roman" w:eastAsiaTheme="minorHAnsi" w:hAnsi="Times New Roman"/>
                <w:sz w:val="24"/>
                <w:szCs w:val="24"/>
              </w:rPr>
              <w:t>lono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, że upoważnienie ustawowe zawarte w art. 53 § 4</w:t>
            </w:r>
            <w:r w:rsidR="007776B2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ustawy – </w:t>
            </w:r>
            <w:r w:rsidRPr="00A920C6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Prawo o ustroju sądów powszechnych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wymaga pilnej korekty ponieważ, z uwagi</w:t>
            </w:r>
            <w:r w:rsidR="007776B2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na brak wytycznych dotyczących treści aktu, nie spełnia ono wymagań określonych w art. 92</w:t>
            </w:r>
          </w:p>
          <w:p w14:paraId="7EEBCA70" w14:textId="77777777" w:rsidR="00C048A7" w:rsidRPr="00A920C6" w:rsidRDefault="00C048A7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ust. 1 Konstytucji RP.</w:t>
            </w:r>
          </w:p>
          <w:p w14:paraId="08406F6E" w14:textId="63B3AFB6" w:rsidR="002009C1" w:rsidRPr="00A920C6" w:rsidRDefault="002A4AD4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Wskazano, że n</w:t>
            </w:r>
            <w:r w:rsidR="002009C1" w:rsidRPr="00A920C6">
              <w:rPr>
                <w:rFonts w:ascii="Times New Roman" w:eastAsiaTheme="minorHAnsi" w:hAnsi="Times New Roman"/>
                <w:sz w:val="24"/>
                <w:szCs w:val="24"/>
              </w:rPr>
              <w:t>iezbędne jest także przywołanie w uzasadnieniu przepisów, z których można odkodować</w:t>
            </w:r>
            <w:r w:rsidR="00A920C6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2009C1" w:rsidRPr="00A920C6">
              <w:rPr>
                <w:rFonts w:ascii="Times New Roman" w:eastAsiaTheme="minorHAnsi" w:hAnsi="Times New Roman"/>
                <w:sz w:val="24"/>
                <w:szCs w:val="24"/>
              </w:rPr>
              <w:t>wytyczne co do treści aktu wykonawczego. Jest to bowiem warunek konieczny, aby akt</w:t>
            </w:r>
            <w:r w:rsidR="00A920C6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2009C1" w:rsidRPr="00A920C6">
              <w:rPr>
                <w:rFonts w:ascii="Times New Roman" w:eastAsiaTheme="minorHAnsi" w:hAnsi="Times New Roman"/>
                <w:sz w:val="24"/>
                <w:szCs w:val="24"/>
              </w:rPr>
              <w:t>wykonawczy wydawany na podstawie przepisu upoważniającego, który nie zawiera wytycznych, spełniał wymogi wynikające z art. 92 ust. 1 Konstytucji RP. W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skazano, że w</w:t>
            </w:r>
            <w:r w:rsidR="002009C1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przywołanych</w:t>
            </w:r>
            <w:r w:rsidR="00A920C6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2009C1" w:rsidRPr="00A920C6">
              <w:rPr>
                <w:rFonts w:ascii="Times New Roman" w:eastAsiaTheme="minorHAnsi" w:hAnsi="Times New Roman"/>
                <w:sz w:val="24"/>
                <w:szCs w:val="24"/>
              </w:rPr>
              <w:t>w piśmie Ministerstwa Sprawiedliwości wyrokach Trybunału Konstytucyjnego z dnia</w:t>
            </w:r>
            <w:r w:rsidR="00A920C6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2009C1" w:rsidRPr="00A920C6">
              <w:rPr>
                <w:rFonts w:ascii="Times New Roman" w:eastAsiaTheme="minorHAnsi" w:hAnsi="Times New Roman"/>
                <w:sz w:val="24"/>
                <w:szCs w:val="24"/>
              </w:rPr>
              <w:t>18 marca 2003 r., sygn. K 50/01 oraz z 20 kwietnia 2004 r., sygn. K 45/02, brak wytycznych,</w:t>
            </w:r>
            <w:r w:rsidR="00A920C6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2009C1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zarówno w treści upoważnienia ustawowego, jak również wyinterpretowanych z innych przepisów </w:t>
            </w:r>
            <w:r w:rsidR="002009C1" w:rsidRPr="00A920C6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ustawy, przesądził o uznaniu przepisów upoważniających za niezgodne</w:t>
            </w:r>
          </w:p>
          <w:p w14:paraId="3D093A1E" w14:textId="2AFF9698" w:rsidR="002009C1" w:rsidRPr="00A920C6" w:rsidRDefault="002009C1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z Konstytucją RP.</w:t>
            </w:r>
          </w:p>
        </w:tc>
        <w:tc>
          <w:tcPr>
            <w:tcW w:w="5953" w:type="dxa"/>
          </w:tcPr>
          <w:p w14:paraId="260755D6" w14:textId="64DC8688" w:rsidR="00C048A7" w:rsidRPr="00A920C6" w:rsidRDefault="001A787D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/>
                <w:sz w:val="24"/>
                <w:szCs w:val="24"/>
              </w:rPr>
              <w:lastRenderedPageBreak/>
              <w:t>Uwaga uwzględniona</w:t>
            </w:r>
          </w:p>
          <w:p w14:paraId="46CA25B0" w14:textId="77777777" w:rsidR="001A787D" w:rsidRPr="00A920C6" w:rsidRDefault="001A787D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Cs/>
                <w:sz w:val="24"/>
                <w:szCs w:val="24"/>
              </w:rPr>
              <w:t>W uzasadnieniu projektu</w:t>
            </w:r>
          </w:p>
          <w:p w14:paraId="7B21F6A7" w14:textId="2DBAC4EE" w:rsidR="001A787D" w:rsidRPr="00A920C6" w:rsidRDefault="001A787D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zamieszczono odwołanie do art. 53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§ 2 ustawy o ustroju sądów powszechnych jako przepisu, z którego można wyprowadzić </w:t>
            </w:r>
            <w:r w:rsidRPr="00A920C6">
              <w:rPr>
                <w:rFonts w:ascii="Times New Roman" w:eastAsiaTheme="minorHAnsi" w:hAnsi="Times New Roman"/>
                <w:bCs/>
                <w:sz w:val="24"/>
                <w:szCs w:val="24"/>
              </w:rPr>
              <w:t>wytyczne do upoważnienia ustawowego oraz wskazano na konieczność wprowadzenia regulacji dotyczących archiwizacji akt spraw prowadzonych w systemie teleinformatycznym w okresie od 1 lipca 2021 do 30 listopada 2021r. (</w:t>
            </w:r>
            <w:r w:rsidR="005A3152" w:rsidRPr="00A920C6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z uwagi na to, ze w dniu </w:t>
            </w:r>
            <w:r w:rsidR="005A3152" w:rsidRPr="00A920C6">
              <w:rPr>
                <w:rFonts w:ascii="Times New Roman" w:eastAsiaTheme="minorHAnsi" w:hAnsi="Times New Roman"/>
                <w:bCs/>
                <w:sz w:val="24"/>
                <w:szCs w:val="24"/>
              </w:rPr>
              <w:br/>
              <w:t>1 grudnia 2021 mają wejść w życie przepisy ustawy o Krajowym Rejestrze Zadłużonych, która spowoduje konieczność wydania nowego rozporządzenia wykonawczego w sprawie przechowywania akt spraw sądowych oraz ich przekazywania do archiwów państwowych lub do zniszczenia</w:t>
            </w:r>
            <w:r w:rsidR="002009C1" w:rsidRPr="00A920C6">
              <w:rPr>
                <w:rFonts w:ascii="Times New Roman" w:eastAsiaTheme="minorHAnsi" w:hAnsi="Times New Roman"/>
                <w:bCs/>
                <w:sz w:val="24"/>
                <w:szCs w:val="24"/>
              </w:rPr>
              <w:t>)</w:t>
            </w:r>
            <w:r w:rsidR="005A3152" w:rsidRPr="00A920C6">
              <w:rPr>
                <w:rFonts w:ascii="Times New Roman" w:eastAsiaTheme="minorHAnsi" w:hAnsi="Times New Roman"/>
                <w:bCs/>
                <w:sz w:val="24"/>
                <w:szCs w:val="24"/>
              </w:rPr>
              <w:t>.</w:t>
            </w:r>
          </w:p>
          <w:p w14:paraId="11FF2C3B" w14:textId="1719E859" w:rsidR="005A3152" w:rsidRPr="00A920C6" w:rsidRDefault="005A3152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Cs/>
                <w:sz w:val="24"/>
                <w:szCs w:val="24"/>
              </w:rPr>
              <w:t>RCL zaakceptował przedstawione wyjaśnienia i uzupełnione uzasadnienie do projektu rozporządzenia.</w:t>
            </w:r>
          </w:p>
          <w:p w14:paraId="0274AA6B" w14:textId="77777777" w:rsidR="00C048A7" w:rsidRPr="00A920C6" w:rsidRDefault="00C048A7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14:paraId="50BA7CC6" w14:textId="77777777" w:rsidR="00C048A7" w:rsidRPr="00A920C6" w:rsidRDefault="00C048A7" w:rsidP="00A920C6">
            <w:pPr>
              <w:pStyle w:val="ARTartustawynprozporzdzenia"/>
              <w:spacing w:line="276" w:lineRule="auto"/>
              <w:ind w:firstLine="0"/>
              <w:rPr>
                <w:rFonts w:ascii="Times New Roman" w:eastAsiaTheme="minorHAnsi" w:hAnsi="Times New Roman" w:cs="Times New Roman"/>
                <w:szCs w:val="24"/>
              </w:rPr>
            </w:pPr>
          </w:p>
        </w:tc>
      </w:tr>
      <w:tr w:rsidR="005A3152" w:rsidRPr="00A920C6" w14:paraId="02D6532B" w14:textId="77777777" w:rsidTr="00FE2714">
        <w:tc>
          <w:tcPr>
            <w:tcW w:w="570" w:type="dxa"/>
          </w:tcPr>
          <w:p w14:paraId="26F4BE30" w14:textId="2DC5E8EB" w:rsidR="005A3152" w:rsidRPr="00A920C6" w:rsidRDefault="005A3152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1699" w:type="dxa"/>
          </w:tcPr>
          <w:p w14:paraId="1631001F" w14:textId="7C74479B" w:rsidR="005A3152" w:rsidRPr="00A920C6" w:rsidRDefault="005A3152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RCL </w:t>
            </w:r>
          </w:p>
        </w:tc>
        <w:tc>
          <w:tcPr>
            <w:tcW w:w="1984" w:type="dxa"/>
          </w:tcPr>
          <w:p w14:paraId="70DE6014" w14:textId="66C5F6F6" w:rsidR="005A3152" w:rsidRPr="00A920C6" w:rsidRDefault="00860094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Uwaga dotyczy uzasadnienia do projektu rozporządzenia </w:t>
            </w:r>
          </w:p>
        </w:tc>
        <w:tc>
          <w:tcPr>
            <w:tcW w:w="4820" w:type="dxa"/>
          </w:tcPr>
          <w:p w14:paraId="1E18CFA9" w14:textId="4750C3BB" w:rsidR="005A3152" w:rsidRPr="00A920C6" w:rsidRDefault="001E32E4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Z</w:t>
            </w:r>
            <w:r w:rsidR="00860094" w:rsidRPr="00A920C6">
              <w:rPr>
                <w:rFonts w:ascii="Times New Roman" w:eastAsiaTheme="minorHAnsi" w:hAnsi="Times New Roman"/>
                <w:sz w:val="24"/>
                <w:szCs w:val="24"/>
              </w:rPr>
              <w:t>wr</w:t>
            </w:r>
            <w:r w:rsidR="002A4AD4">
              <w:rPr>
                <w:rFonts w:ascii="Times New Roman" w:eastAsiaTheme="minorHAnsi" w:hAnsi="Times New Roman"/>
                <w:sz w:val="24"/>
                <w:szCs w:val="24"/>
              </w:rPr>
              <w:t>ócono</w:t>
            </w:r>
            <w:r w:rsidR="00860094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uwagę na konieczność modyfikacji uzasadnienia do projektu</w:t>
            </w:r>
            <w:r w:rsidR="00A920C6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60094" w:rsidRPr="00A920C6">
              <w:rPr>
                <w:rFonts w:ascii="Times New Roman" w:eastAsiaTheme="minorHAnsi" w:hAnsi="Times New Roman"/>
                <w:sz w:val="24"/>
                <w:szCs w:val="24"/>
              </w:rPr>
              <w:t>rozporządzenia przez wskazanie, że projektowany przepis będzie miał zastosowanie do akt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60094" w:rsidRPr="00A920C6">
              <w:rPr>
                <w:rFonts w:ascii="Times New Roman" w:eastAsiaTheme="minorHAnsi" w:hAnsi="Times New Roman"/>
                <w:sz w:val="24"/>
                <w:szCs w:val="24"/>
              </w:rPr>
              <w:t>spraw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60094" w:rsidRPr="00A920C6">
              <w:rPr>
                <w:rFonts w:ascii="Times New Roman" w:eastAsiaTheme="minorHAnsi" w:hAnsi="Times New Roman"/>
                <w:sz w:val="24"/>
                <w:szCs w:val="24"/>
              </w:rPr>
              <w:t>rozpoznawanych w elektronicznym postępowaniu upominawczym oraz tytułów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60094" w:rsidRPr="00A920C6">
              <w:rPr>
                <w:rFonts w:ascii="Times New Roman" w:eastAsiaTheme="minorHAnsi" w:hAnsi="Times New Roman"/>
                <w:sz w:val="24"/>
                <w:szCs w:val="24"/>
              </w:rPr>
              <w:t>wykonawczych obejmujących orzeczenia wydane w tym postępowaniu, oraz do akt</w:t>
            </w:r>
            <w:r w:rsidR="00A920C6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60094" w:rsidRPr="00A920C6">
              <w:rPr>
                <w:rFonts w:ascii="Times New Roman" w:eastAsiaTheme="minorHAnsi" w:hAnsi="Times New Roman"/>
                <w:sz w:val="24"/>
                <w:szCs w:val="24"/>
              </w:rPr>
              <w:t>podmiotów wpisanych do rejestru przedsiębiorców Krajowego Rejestru Sądowego.</w:t>
            </w:r>
          </w:p>
        </w:tc>
        <w:tc>
          <w:tcPr>
            <w:tcW w:w="5953" w:type="dxa"/>
          </w:tcPr>
          <w:p w14:paraId="051CCBCC" w14:textId="77777777" w:rsidR="007E6EC1" w:rsidRPr="00A920C6" w:rsidRDefault="007E6EC1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/>
                <w:sz w:val="24"/>
                <w:szCs w:val="24"/>
              </w:rPr>
              <w:t>Uwaga uwzględniona</w:t>
            </w:r>
          </w:p>
          <w:p w14:paraId="631FCFA7" w14:textId="2233115B" w:rsidR="00860094" w:rsidRPr="00A920C6" w:rsidRDefault="00860094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W treści uzasadnienia wskazano, że projektowany § 24 b będzie odnosił</w:t>
            </w:r>
            <w:r w:rsidR="002009C1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się do akt spraw rozpoznawanych w elektronicznym postępowaniu upominawczym oraz</w:t>
            </w:r>
            <w:r w:rsidR="002009C1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tytułów wykonawczych</w:t>
            </w:r>
            <w:r w:rsidR="002009C1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obejmujących orzeczenia wydane w tym postępowaniu, a także do</w:t>
            </w:r>
            <w:r w:rsidR="00A920C6"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prowadzonych w systemie teleinformatycznym akt podmiotów wpisanych do rejestru</w:t>
            </w:r>
          </w:p>
          <w:p w14:paraId="0A64E71F" w14:textId="77777777" w:rsidR="005A3152" w:rsidRPr="00A920C6" w:rsidRDefault="00860094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przedsiębiorców Krajowego Rejestru Sądowego.</w:t>
            </w:r>
          </w:p>
          <w:p w14:paraId="38E34B8E" w14:textId="08C4B310" w:rsidR="001E32E4" w:rsidRPr="00A920C6" w:rsidRDefault="001E32E4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RCL zaakceptował uzupełnione uzasadnienie do projektu rozporządzenia.</w:t>
            </w:r>
          </w:p>
        </w:tc>
      </w:tr>
      <w:tr w:rsidR="001E32E4" w:rsidRPr="00A920C6" w14:paraId="6CC9FBE5" w14:textId="77777777" w:rsidTr="00FE2714">
        <w:tc>
          <w:tcPr>
            <w:tcW w:w="570" w:type="dxa"/>
          </w:tcPr>
          <w:p w14:paraId="76926670" w14:textId="4D3D8B33" w:rsidR="001E32E4" w:rsidRPr="00A920C6" w:rsidRDefault="001E32E4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699" w:type="dxa"/>
          </w:tcPr>
          <w:p w14:paraId="6970D8B0" w14:textId="7267BEA5" w:rsidR="001E32E4" w:rsidRPr="00A920C6" w:rsidRDefault="001E32E4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/>
                <w:sz w:val="24"/>
                <w:szCs w:val="24"/>
              </w:rPr>
              <w:t>Prezes Sądu Apelacyjnego we Wrocławiu</w:t>
            </w:r>
          </w:p>
        </w:tc>
        <w:tc>
          <w:tcPr>
            <w:tcW w:w="1984" w:type="dxa"/>
          </w:tcPr>
          <w:p w14:paraId="2935B779" w14:textId="725F551C" w:rsidR="001E32E4" w:rsidRPr="00A920C6" w:rsidRDefault="001E32E4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Uwaga dotyczy projektowanego </w:t>
            </w:r>
            <w:r w:rsidRPr="00A920C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§ 24 b</w:t>
            </w:r>
          </w:p>
        </w:tc>
        <w:tc>
          <w:tcPr>
            <w:tcW w:w="4820" w:type="dxa"/>
          </w:tcPr>
          <w:p w14:paraId="54E7EB46" w14:textId="2CFA5D6F" w:rsidR="00B909EC" w:rsidRPr="00A920C6" w:rsidRDefault="002A4AD4" w:rsidP="00A920C6">
            <w:pPr>
              <w:pStyle w:val="Default"/>
              <w:spacing w:line="276" w:lineRule="auto"/>
            </w:pPr>
            <w:r>
              <w:t>Prezes SA poinformował, że</w:t>
            </w:r>
            <w:r w:rsidR="00B909EC" w:rsidRPr="00A920C6">
              <w:t xml:space="preserve"> kierownik Archiwum Sądu</w:t>
            </w:r>
            <w:r>
              <w:t xml:space="preserve"> Rejonowego dla Wrocławia Fabrycznej we Wrocławiu </w:t>
            </w:r>
            <w:r w:rsidR="00B909EC" w:rsidRPr="00A920C6">
              <w:t xml:space="preserve"> wskazał, że ma wątpliwość do zapisu nowego projektu dot. informatyzacji rejestrów sądowych, gdyż poniższy zapis może sugerować</w:t>
            </w:r>
            <w:r>
              <w:t>, że</w:t>
            </w:r>
            <w:r w:rsidR="00B909EC" w:rsidRPr="00A920C6">
              <w:rPr>
                <w:i/>
                <w:iCs/>
              </w:rPr>
              <w:t xml:space="preserve"> </w:t>
            </w:r>
            <w:r w:rsidR="00B909EC" w:rsidRPr="00A920C6">
              <w:t xml:space="preserve">systemy typu Sędzia 2, SAWA też będą służyć do archiwizacji spraw sądowych. Te systemy z definicji nie są systemami teleinformatycznymi obsługującymi postępowania sądowe w całości, to znaczy brak jest możliwości składania przez strony wniosków w tych systemach oraz nie prowadzi się w nich akt spraw. Dla uniknięcia niejasności dla niewyspecjalizowanych </w:t>
            </w:r>
            <w:r>
              <w:t>zaproponowano</w:t>
            </w:r>
            <w:r w:rsidR="00B909EC" w:rsidRPr="00A920C6">
              <w:t xml:space="preserve"> wstawienie:</w:t>
            </w:r>
          </w:p>
          <w:p w14:paraId="6039B837" w14:textId="77777777" w:rsidR="00B909EC" w:rsidRPr="00A920C6" w:rsidRDefault="00B909EC" w:rsidP="00A920C6">
            <w:pPr>
              <w:pStyle w:val="Default"/>
              <w:spacing w:line="276" w:lineRule="auto"/>
            </w:pPr>
            <w:r w:rsidRPr="00A920C6">
              <w:rPr>
                <w:i/>
                <w:iCs/>
              </w:rPr>
              <w:lastRenderedPageBreak/>
              <w:t>§ 1. W rozporządzeniu Ministra Sprawiedliwości z dnia 5 marca 2004 r. w sprawie przechowywania akt spraw sądowych oraz ich przekazywania do archiwów państwowych lub do zniszczenia (Dz. U. z 2021 r. poz. 309) wprowadza się następującą zmianę:</w:t>
            </w:r>
          </w:p>
          <w:p w14:paraId="215D0361" w14:textId="77777777" w:rsidR="00B909EC" w:rsidRPr="00A920C6" w:rsidRDefault="00B909EC" w:rsidP="00A920C6">
            <w:pPr>
              <w:pStyle w:val="Default"/>
              <w:spacing w:line="276" w:lineRule="auto"/>
            </w:pPr>
            <w:r w:rsidRPr="00A920C6">
              <w:rPr>
                <w:i/>
                <w:iCs/>
              </w:rPr>
              <w:t>§ 24b otrzymuje brzmienie:</w:t>
            </w:r>
          </w:p>
          <w:p w14:paraId="08575B36" w14:textId="77777777" w:rsidR="00B909EC" w:rsidRPr="00A920C6" w:rsidRDefault="00B909EC" w:rsidP="00A920C6">
            <w:pPr>
              <w:pStyle w:val="Default"/>
              <w:spacing w:line="276" w:lineRule="auto"/>
            </w:pPr>
            <w:r w:rsidRPr="00A920C6">
              <w:rPr>
                <w:i/>
                <w:iCs/>
              </w:rPr>
              <w:t>„§ 24b. System teleinformatyczny obsługujący [wskazane] postępowanie sądowe spełnia funkcję archiwum zakładowego w odniesieniu do akt spraw prowadzonych w tym systemie oraz tytułów wykonawczych obejmujących orzeczenia wydane w postępowaniach prowadzonych w tym systemie.</w:t>
            </w:r>
          </w:p>
          <w:p w14:paraId="0CCC6724" w14:textId="1A52D839" w:rsidR="001E32E4" w:rsidRPr="00A920C6" w:rsidRDefault="00B909EC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hAnsi="Times New Roman"/>
                <w:i/>
                <w:iCs/>
                <w:sz w:val="24"/>
                <w:szCs w:val="24"/>
              </w:rPr>
              <w:t>§ 2. Rozporządzenie wchodzi w tycie z dniem 1 lipca 2021 r.</w:t>
            </w:r>
          </w:p>
        </w:tc>
        <w:tc>
          <w:tcPr>
            <w:tcW w:w="5953" w:type="dxa"/>
          </w:tcPr>
          <w:p w14:paraId="2096A009" w14:textId="26C43E88" w:rsidR="007E6EC1" w:rsidRPr="00A920C6" w:rsidRDefault="007E6EC1" w:rsidP="00A920C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b/>
                <w:sz w:val="24"/>
                <w:szCs w:val="24"/>
              </w:rPr>
              <w:lastRenderedPageBreak/>
              <w:t>Uwaga nieuwzględniona</w:t>
            </w:r>
          </w:p>
          <w:p w14:paraId="4C56A3AE" w14:textId="3CC304A9" w:rsidR="007E6EC1" w:rsidRPr="00A920C6" w:rsidRDefault="007E6EC1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Systemy typu Sędzia 2 czy SAWA są to systemy repertoryjno – biurowe dla sekretariatów</w:t>
            </w:r>
          </w:p>
          <w:p w14:paraId="32D232E3" w14:textId="77777777" w:rsidR="007E6EC1" w:rsidRPr="00A920C6" w:rsidRDefault="007E6EC1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sądowych, a zatem nie są systemami teleinformatycznymi, w których tworzy się i przetwarza akta</w:t>
            </w:r>
          </w:p>
          <w:p w14:paraId="44F6FECA" w14:textId="77777777" w:rsidR="007E6EC1" w:rsidRPr="00A920C6" w:rsidRDefault="007E6EC1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sprawy. Tym samym nie ma wątpliwości co do tego, że nie mogą one spełniać funkcji archiwum</w:t>
            </w:r>
          </w:p>
          <w:p w14:paraId="52995A6E" w14:textId="77777777" w:rsidR="007E6EC1" w:rsidRPr="00A920C6" w:rsidRDefault="007E6EC1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zakładowego dla akt spraw prowadzonych w systemie teleinformatycznym.</w:t>
            </w:r>
          </w:p>
          <w:p w14:paraId="602F2000" w14:textId="77777777" w:rsidR="007E6EC1" w:rsidRPr="00A920C6" w:rsidRDefault="007E6EC1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W związku z powyższym brak jest konieczności dokonywania zmiany § 24b poprzez nadanie</w:t>
            </w:r>
          </w:p>
          <w:p w14:paraId="0AEB8B60" w14:textId="77777777" w:rsidR="007E6EC1" w:rsidRPr="00A920C6" w:rsidRDefault="007E6EC1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mu brzmienia zaproponowanego w piśmie Prezesa Sądu Rejonowego dla Wrocławia - Fabrycznej we</w:t>
            </w:r>
          </w:p>
          <w:p w14:paraId="652E208C" w14:textId="77777777" w:rsidR="001E32E4" w:rsidRPr="00A920C6" w:rsidRDefault="007E6EC1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 xml:space="preserve">Wrocławiu. </w:t>
            </w:r>
          </w:p>
          <w:p w14:paraId="189D7CD0" w14:textId="32DA1314" w:rsidR="007E6EC1" w:rsidRPr="00A920C6" w:rsidRDefault="007E6EC1" w:rsidP="00A920C6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Przesłano stanowisko </w:t>
            </w:r>
            <w:r w:rsidR="002A4AD4">
              <w:rPr>
                <w:rFonts w:ascii="Times New Roman" w:eastAsiaTheme="minorHAnsi" w:hAnsi="Times New Roman"/>
                <w:sz w:val="24"/>
                <w:szCs w:val="24"/>
              </w:rPr>
              <w:t xml:space="preserve">projektodawcy </w:t>
            </w:r>
            <w:r w:rsidRPr="00A920C6">
              <w:rPr>
                <w:rFonts w:ascii="Times New Roman" w:eastAsiaTheme="minorHAnsi" w:hAnsi="Times New Roman"/>
                <w:sz w:val="24"/>
                <w:szCs w:val="24"/>
              </w:rPr>
              <w:t>do uwagi do SA we Wrocławiu.</w:t>
            </w:r>
          </w:p>
        </w:tc>
      </w:tr>
    </w:tbl>
    <w:p w14:paraId="642ABBF9" w14:textId="77777777" w:rsidR="00C51342" w:rsidRPr="00A920C6" w:rsidRDefault="00C51342" w:rsidP="00A920C6">
      <w:pPr>
        <w:rPr>
          <w:rFonts w:ascii="Times New Roman" w:hAnsi="Times New Roman"/>
          <w:sz w:val="24"/>
          <w:szCs w:val="24"/>
        </w:rPr>
      </w:pPr>
    </w:p>
    <w:sectPr w:rsidR="00C51342" w:rsidRPr="00A920C6" w:rsidSect="004767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8A7"/>
    <w:rsid w:val="00007D8F"/>
    <w:rsid w:val="0001625D"/>
    <w:rsid w:val="00025774"/>
    <w:rsid w:val="000472BF"/>
    <w:rsid w:val="0005771F"/>
    <w:rsid w:val="000C4DE7"/>
    <w:rsid w:val="000F2FAA"/>
    <w:rsid w:val="001054AA"/>
    <w:rsid w:val="001138F3"/>
    <w:rsid w:val="00141041"/>
    <w:rsid w:val="0014777B"/>
    <w:rsid w:val="0015506F"/>
    <w:rsid w:val="00163326"/>
    <w:rsid w:val="0019527C"/>
    <w:rsid w:val="001A787D"/>
    <w:rsid w:val="001B752D"/>
    <w:rsid w:val="001D7DE0"/>
    <w:rsid w:val="001E0884"/>
    <w:rsid w:val="001E32E4"/>
    <w:rsid w:val="001E6BCF"/>
    <w:rsid w:val="002009C1"/>
    <w:rsid w:val="002460DC"/>
    <w:rsid w:val="002573AB"/>
    <w:rsid w:val="0026422D"/>
    <w:rsid w:val="0028474B"/>
    <w:rsid w:val="00287326"/>
    <w:rsid w:val="00290B48"/>
    <w:rsid w:val="002A4AD4"/>
    <w:rsid w:val="002D6A3B"/>
    <w:rsid w:val="00307728"/>
    <w:rsid w:val="00333768"/>
    <w:rsid w:val="003928DA"/>
    <w:rsid w:val="00392D20"/>
    <w:rsid w:val="003B750A"/>
    <w:rsid w:val="003C5BAD"/>
    <w:rsid w:val="003D5944"/>
    <w:rsid w:val="00420DDC"/>
    <w:rsid w:val="00425880"/>
    <w:rsid w:val="00473C2B"/>
    <w:rsid w:val="00476718"/>
    <w:rsid w:val="004966F6"/>
    <w:rsid w:val="004A5012"/>
    <w:rsid w:val="004B78E3"/>
    <w:rsid w:val="004D3767"/>
    <w:rsid w:val="005007C4"/>
    <w:rsid w:val="00535600"/>
    <w:rsid w:val="00535CEE"/>
    <w:rsid w:val="00556C92"/>
    <w:rsid w:val="0056400B"/>
    <w:rsid w:val="00570B93"/>
    <w:rsid w:val="00571C90"/>
    <w:rsid w:val="005A3152"/>
    <w:rsid w:val="005B4E7F"/>
    <w:rsid w:val="005C1DFE"/>
    <w:rsid w:val="00604FDE"/>
    <w:rsid w:val="00623779"/>
    <w:rsid w:val="00673DCE"/>
    <w:rsid w:val="006B3D96"/>
    <w:rsid w:val="006C58A4"/>
    <w:rsid w:val="006E2218"/>
    <w:rsid w:val="006F5ED8"/>
    <w:rsid w:val="007006BD"/>
    <w:rsid w:val="00712290"/>
    <w:rsid w:val="00714B2C"/>
    <w:rsid w:val="007325D5"/>
    <w:rsid w:val="00762540"/>
    <w:rsid w:val="007776B2"/>
    <w:rsid w:val="007B2F78"/>
    <w:rsid w:val="007B4E3A"/>
    <w:rsid w:val="007C38A7"/>
    <w:rsid w:val="007E6EC1"/>
    <w:rsid w:val="008160A5"/>
    <w:rsid w:val="00840DE0"/>
    <w:rsid w:val="00852EFD"/>
    <w:rsid w:val="00860094"/>
    <w:rsid w:val="008657FE"/>
    <w:rsid w:val="008839A0"/>
    <w:rsid w:val="008B166C"/>
    <w:rsid w:val="008C02EC"/>
    <w:rsid w:val="00924B2C"/>
    <w:rsid w:val="009272EF"/>
    <w:rsid w:val="00996FE5"/>
    <w:rsid w:val="009C42F1"/>
    <w:rsid w:val="009C6CE9"/>
    <w:rsid w:val="009F43D0"/>
    <w:rsid w:val="00A01D63"/>
    <w:rsid w:val="00A234DF"/>
    <w:rsid w:val="00A3670B"/>
    <w:rsid w:val="00A52BAE"/>
    <w:rsid w:val="00A60F86"/>
    <w:rsid w:val="00A80303"/>
    <w:rsid w:val="00A803D2"/>
    <w:rsid w:val="00A82FD5"/>
    <w:rsid w:val="00A920C6"/>
    <w:rsid w:val="00AA7B3B"/>
    <w:rsid w:val="00AE48F0"/>
    <w:rsid w:val="00B24D15"/>
    <w:rsid w:val="00B25106"/>
    <w:rsid w:val="00B41F46"/>
    <w:rsid w:val="00B6339B"/>
    <w:rsid w:val="00B844E3"/>
    <w:rsid w:val="00B909EC"/>
    <w:rsid w:val="00C048A7"/>
    <w:rsid w:val="00C0574C"/>
    <w:rsid w:val="00C30BDE"/>
    <w:rsid w:val="00C34E5E"/>
    <w:rsid w:val="00C47FB5"/>
    <w:rsid w:val="00C51342"/>
    <w:rsid w:val="00C553CF"/>
    <w:rsid w:val="00C55BBA"/>
    <w:rsid w:val="00C71EA1"/>
    <w:rsid w:val="00C75252"/>
    <w:rsid w:val="00C91DD4"/>
    <w:rsid w:val="00D04CA6"/>
    <w:rsid w:val="00D404AE"/>
    <w:rsid w:val="00D817D0"/>
    <w:rsid w:val="00D9213C"/>
    <w:rsid w:val="00DA3350"/>
    <w:rsid w:val="00DC4BAF"/>
    <w:rsid w:val="00DD7C27"/>
    <w:rsid w:val="00E113ED"/>
    <w:rsid w:val="00E11735"/>
    <w:rsid w:val="00E40749"/>
    <w:rsid w:val="00E65278"/>
    <w:rsid w:val="00E914FB"/>
    <w:rsid w:val="00E93338"/>
    <w:rsid w:val="00EF7F8A"/>
    <w:rsid w:val="00F15B21"/>
    <w:rsid w:val="00F160B5"/>
    <w:rsid w:val="00F246DE"/>
    <w:rsid w:val="00F250ED"/>
    <w:rsid w:val="00F36F54"/>
    <w:rsid w:val="00F41585"/>
    <w:rsid w:val="00F631EE"/>
    <w:rsid w:val="00FC3807"/>
    <w:rsid w:val="00FC7DDF"/>
    <w:rsid w:val="00FE2714"/>
    <w:rsid w:val="00FE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12B4D"/>
  <w15:chartTrackingRefBased/>
  <w15:docId w15:val="{6B1EF526-7B8A-42E4-9509-774A45E4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8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4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C048A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Default">
    <w:name w:val="Default"/>
    <w:rsid w:val="00B909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A10D4-720F-4C7B-B2CF-C6FB1EC52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880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Ciećwierz Beata  (DLPC)</cp:lastModifiedBy>
  <cp:revision>8</cp:revision>
  <dcterms:created xsi:type="dcterms:W3CDTF">2021-06-23T12:59:00Z</dcterms:created>
  <dcterms:modified xsi:type="dcterms:W3CDTF">2021-06-25T08:51:00Z</dcterms:modified>
</cp:coreProperties>
</file>